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E7" w:rsidRDefault="00A713E7" w:rsidP="00AD16E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9214"/>
        <w:gridCol w:w="3686"/>
      </w:tblGrid>
      <w:tr w:rsidR="00771D9F" w:rsidRPr="00813961" w:rsidTr="00771D9F">
        <w:tc>
          <w:tcPr>
            <w:tcW w:w="2551" w:type="dxa"/>
          </w:tcPr>
          <w:p w:rsidR="00771D9F" w:rsidRPr="00813961" w:rsidRDefault="00771D9F" w:rsidP="00166BC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Дата, номер и наименование поступившего документа</w:t>
            </w:r>
          </w:p>
        </w:tc>
        <w:tc>
          <w:tcPr>
            <w:tcW w:w="9214" w:type="dxa"/>
          </w:tcPr>
          <w:p w:rsidR="00771D9F" w:rsidRPr="00813961" w:rsidRDefault="00771D9F" w:rsidP="002079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Выявленные нарушения</w:t>
            </w:r>
          </w:p>
        </w:tc>
        <w:tc>
          <w:tcPr>
            <w:tcW w:w="3686" w:type="dxa"/>
          </w:tcPr>
          <w:p w:rsidR="00771D9F" w:rsidRPr="00813961" w:rsidRDefault="00813961" w:rsidP="008139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Информация по </w:t>
            </w:r>
            <w:r w:rsidR="00771D9F"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устранению нарушений</w:t>
            </w:r>
          </w:p>
        </w:tc>
      </w:tr>
      <w:tr w:rsidR="00771D9F" w:rsidRPr="00813961" w:rsidTr="00813961">
        <w:trPr>
          <w:trHeight w:val="1036"/>
        </w:trPr>
        <w:tc>
          <w:tcPr>
            <w:tcW w:w="2551" w:type="dxa"/>
            <w:vMerge w:val="restart"/>
          </w:tcPr>
          <w:p w:rsidR="00771D9F" w:rsidRPr="00813961" w:rsidRDefault="00771D9F" w:rsidP="00771D9F">
            <w:pPr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Предписание главного управления МЧС России по Оренбургской области от 22.10.2021г. № 318/1/1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 помещениях установлено по одному дымовому пожарному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извещателю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автоматической установки пожарной сигнализации при этом оборудование не реализует функции повышающие достоверность обнаружения пожара (не осуществляется перезапрос состояния пожарных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извещателей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3961" w:rsidRPr="00813961" w:rsidRDefault="00813961" w:rsidP="00813961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</w:t>
            </w:r>
          </w:p>
          <w:p w:rsidR="00771D9F" w:rsidRPr="00813961" w:rsidRDefault="00813961" w:rsidP="0081396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«Капитальный ремонт зданий»</w:t>
            </w:r>
          </w:p>
        </w:tc>
      </w:tr>
      <w:tr w:rsidR="00771D9F" w:rsidRPr="00813961" w:rsidTr="00813961">
        <w:trPr>
          <w:trHeight w:val="1366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71D9F" w:rsidRPr="00813961" w:rsidRDefault="00771D9F" w:rsidP="00F76E44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Уровень звука системы оповещения и управления эвакуацией людей при пожаре превышает уровень постоянного шума менее чем на 15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дБА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где не установлены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оповещатели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колеблется от 58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дБА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до 62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дБА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(уровень звука постоянного шума колеблется от 54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дБА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до 55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дБА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) при этом в помещении столовой (1 этаж), кабинеты № 26 и 27 (2 этаж), кабинет № 28 (3 этаж)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оповещатели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находятся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 неисправном состоянии.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3961" w:rsidRPr="00813961" w:rsidRDefault="00813961" w:rsidP="00813961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</w:t>
            </w:r>
          </w:p>
          <w:p w:rsidR="00771D9F" w:rsidRPr="00813961" w:rsidRDefault="00813961" w:rsidP="008139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эвакуационных выходов из учебных классов (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 № № 32, 34, 39а, 4) выполнена менее 0,9 м (фактически 0,8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учебного класса (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. № 40) выполнена менее 0,9 </w:t>
            </w: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м(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фактически 0,84 м.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учебного класса (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. № 26) выполнена менее 0,9 </w:t>
            </w: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м(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фактически 0,85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lightGray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горизонтальных путей эвакуации (переход между коридорами 3-го этажа) выполнена менее 1,2 м (фактически, 0,95 м.).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2079F6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Дверь выхода на кровлю здания выполнена не противопожарной 2-го типа с пределом огнестойкости EI-30 (выполнена деревянной).</w:t>
            </w:r>
            <w:proofErr w:type="gramEnd"/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lightGray"/>
                <w:shd w:val="clear" w:color="auto" w:fill="FFFFFF"/>
              </w:rPr>
            </w:pP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Ограждение кровли выполнено высотой менее 600 мм с учетом парапета (фактически парапет 0,35-0,4 м.).</w:t>
            </w:r>
          </w:p>
        </w:tc>
        <w:tc>
          <w:tcPr>
            <w:tcW w:w="3686" w:type="dxa"/>
          </w:tcPr>
          <w:p w:rsidR="00771D9F" w:rsidRPr="00813961" w:rsidRDefault="00771D9F" w:rsidP="00D965DA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</w:t>
            </w:r>
          </w:p>
          <w:p w:rsidR="00771D9F" w:rsidRPr="00813961" w:rsidRDefault="00771D9F" w:rsidP="00D965DA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горизонтальных путей эвакуации (переход между коридорами 2-го этажа) выполнена менее 1,2 м (фактически, 0,96 м.).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Лестничная клетка левого крыла здания не оборудованы выходом наружу на прилегающую к зданию территорию.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коридора 1-го этажа непосредственно наружу на прилегающую к зданию территорию (эвакуационный выход в районе лестничной клетки левого крыла здания) выполнена менее 1,2 м (фактически 1,05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444B5A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Перед наружной дверью эвакуационного выхода, ведущего из коридора 1-го этажа (в районе столовой) непосредственно наружу во двор здания входная площадка выполнена шириной менее 1,5 ширины дверного полотна 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rPr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Высота ограждения (поручней) лестницы (входная группа из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корридора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 районе столовой) выполнено менее 1,2 м (фактически 0,82 м).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rPr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 пределах марша лестницы (входная группа перед эвакуационным выходом в районе столовой) допущено устройство ступеней с различной высотой в пределах марша </w:t>
            </w: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лестницы (фактически 1 я ступень 12 см, последняя 13 см, в марше ступени 15-17 см).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rPr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марша лестничной клетки левого крыла здания выполнена менее 1,35 м (фактически</w:t>
            </w: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,27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второго эвакуационного выхода из помещения столовой выполнена менее 1,2 м (фактически 1,04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Перед наружной дверью 2-го эвакуационного выхода из столовой непосредственно наружу входная площадка выполнена шириной менее 1,5 ширины дверного полотна (фактически площадка 1,32 м, при ширине дверного полотна 1,07 м.).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rPr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Высота ограждения (поручней) лестницы (второй эвакуационный выход из столовой) выполнено менее 1,2 м (фактически бетонное ограждение высотой 0,82 м).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rPr>
                <w:sz w:val="23"/>
                <w:szCs w:val="23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актового зала в коридор в районе лестничной клетки выполнена менее 1.2 м (фактически 1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717A2B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коридора (в районе актового зала) на лестничную клетку выполнена менее 1,2 м (фактически 0,80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лестничной клетке, расположенной в районе актового зала, допущено размещение радиаторов отопления на высоте менее 2,2 м.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лестничной клетки, расположенной в районе актового зала, непосредственно наружу выполнена менее 1,2 м. (фактически 0,88 м.)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Декоративно-отделочные и облицовочные материалы стен актового зала выполнены из материала с более высокой пожарной опасностью КМ 1 (Г</w:t>
            </w: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В1Д2 Т2 РП1) (фактически пластиковые панели).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Дверь библиотеки выполнена не противопожарной 2-го типа.</w:t>
            </w:r>
            <w:proofErr w:type="gramEnd"/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спортивного зала выполнена менее 1,2 (фактически 1,06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6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Ширина эвакуационного выхода из спортивного зала на лестницу, ведущую наружу, выполнена менее 1,2 (фактически 0,79 м).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Высота горизонтальных участков путей эвакуации в спортивном зале, расположенном в подвале, выполнена менее 2 м (фактически 1,92).</w:t>
            </w:r>
          </w:p>
        </w:tc>
        <w:tc>
          <w:tcPr>
            <w:tcW w:w="3686" w:type="dxa"/>
          </w:tcPr>
          <w:p w:rsidR="00771D9F" w:rsidRPr="00813961" w:rsidRDefault="00771D9F" w:rsidP="00813961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 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Лестницы, соединяющие 1 этаж и подвал здания (лестница в правом крыле здания; лестница, ведущая в спортивный зал) на одном из выходов не оборудована </w:t>
            </w: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тамбур-шлюзом</w:t>
            </w:r>
            <w:proofErr w:type="gram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 подпором воздуха при пожаре.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Планируется в рамках программы</w:t>
            </w:r>
          </w:p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«Капитальный ремонт зданий»</w:t>
            </w:r>
          </w:p>
        </w:tc>
      </w:tr>
      <w:tr w:rsidR="00771D9F" w:rsidRPr="00813961" w:rsidTr="00771D9F">
        <w:tc>
          <w:tcPr>
            <w:tcW w:w="2551" w:type="dxa"/>
            <w:vMerge w:val="restart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Представление управления ФСБ России по Оренбургской </w:t>
            </w:r>
            <w:proofErr w:type="spellStart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облавсти</w:t>
            </w:r>
            <w:proofErr w:type="spellEnd"/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от 08.04.2022г. № 5/6600</w:t>
            </w:r>
            <w:proofErr w:type="gramEnd"/>
          </w:p>
        </w:tc>
        <w:tc>
          <w:tcPr>
            <w:tcW w:w="9214" w:type="dxa"/>
          </w:tcPr>
          <w:p w:rsidR="00771D9F" w:rsidRPr="00813961" w:rsidRDefault="00771D9F" w:rsidP="007232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13961">
              <w:rPr>
                <w:rFonts w:ascii="Times New Roman" w:hAnsi="Times New Roman" w:cs="Times New Roman"/>
                <w:sz w:val="23"/>
                <w:szCs w:val="23"/>
              </w:rPr>
              <w:t>Не установлена система контроля и управления доступом</w:t>
            </w:r>
          </w:p>
        </w:tc>
        <w:tc>
          <w:tcPr>
            <w:tcW w:w="3686" w:type="dxa"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</w:tc>
      </w:tr>
      <w:tr w:rsidR="00771D9F" w:rsidRPr="00813961" w:rsidTr="00771D9F">
        <w:tc>
          <w:tcPr>
            <w:tcW w:w="2551" w:type="dxa"/>
            <w:vMerge/>
          </w:tcPr>
          <w:p w:rsidR="00771D9F" w:rsidRPr="00813961" w:rsidRDefault="00771D9F" w:rsidP="00AD16EE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14" w:type="dxa"/>
          </w:tcPr>
          <w:p w:rsidR="00771D9F" w:rsidRPr="00813961" w:rsidRDefault="00771D9F" w:rsidP="00771D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13961">
              <w:rPr>
                <w:rFonts w:ascii="Times New Roman" w:hAnsi="Times New Roman" w:cs="Times New Roman"/>
                <w:sz w:val="23"/>
                <w:szCs w:val="23"/>
              </w:rPr>
              <w:t>Отсутствие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      </w:r>
          </w:p>
        </w:tc>
        <w:tc>
          <w:tcPr>
            <w:tcW w:w="3686" w:type="dxa"/>
          </w:tcPr>
          <w:p w:rsidR="00771D9F" w:rsidRPr="00813961" w:rsidRDefault="00771D9F" w:rsidP="00771D9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1396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Выполнено</w:t>
            </w:r>
          </w:p>
          <w:p w:rsidR="00771D9F" w:rsidRPr="00813961" w:rsidRDefault="00771D9F" w:rsidP="005F542D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3D52BF" w:rsidRPr="003D52BF" w:rsidRDefault="003D52BF" w:rsidP="00B557E5">
      <w:pPr>
        <w:spacing w:after="0" w:line="240" w:lineRule="auto"/>
        <w:rPr>
          <w:sz w:val="18"/>
          <w:szCs w:val="18"/>
        </w:rPr>
      </w:pPr>
    </w:p>
    <w:sectPr w:rsidR="003D52BF" w:rsidRPr="003D52BF" w:rsidSect="00564C08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00E8"/>
    <w:multiLevelType w:val="hybridMultilevel"/>
    <w:tmpl w:val="5A1A1E1C"/>
    <w:lvl w:ilvl="0" w:tplc="DEFA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72180"/>
    <w:multiLevelType w:val="hybridMultilevel"/>
    <w:tmpl w:val="C37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4"/>
    <w:rsid w:val="000C5F8D"/>
    <w:rsid w:val="001119BE"/>
    <w:rsid w:val="001120B5"/>
    <w:rsid w:val="0013629C"/>
    <w:rsid w:val="001523C8"/>
    <w:rsid w:val="00156C35"/>
    <w:rsid w:val="00170388"/>
    <w:rsid w:val="001765D4"/>
    <w:rsid w:val="00183F3B"/>
    <w:rsid w:val="001A593E"/>
    <w:rsid w:val="001A6C65"/>
    <w:rsid w:val="001D04C5"/>
    <w:rsid w:val="002079F6"/>
    <w:rsid w:val="002C4727"/>
    <w:rsid w:val="003A2ACB"/>
    <w:rsid w:val="003C74AF"/>
    <w:rsid w:val="003D52BF"/>
    <w:rsid w:val="00404B4E"/>
    <w:rsid w:val="0042201D"/>
    <w:rsid w:val="004322E6"/>
    <w:rsid w:val="00444B5A"/>
    <w:rsid w:val="004518E1"/>
    <w:rsid w:val="0046247B"/>
    <w:rsid w:val="004C1E82"/>
    <w:rsid w:val="00564C08"/>
    <w:rsid w:val="0059539E"/>
    <w:rsid w:val="005A3D68"/>
    <w:rsid w:val="005C38CA"/>
    <w:rsid w:val="005F542D"/>
    <w:rsid w:val="005F70B9"/>
    <w:rsid w:val="00602A56"/>
    <w:rsid w:val="00631F47"/>
    <w:rsid w:val="006442E9"/>
    <w:rsid w:val="00691226"/>
    <w:rsid w:val="006913E0"/>
    <w:rsid w:val="006D4C14"/>
    <w:rsid w:val="006E1D02"/>
    <w:rsid w:val="00717A2B"/>
    <w:rsid w:val="0072329D"/>
    <w:rsid w:val="0074258E"/>
    <w:rsid w:val="00771D9F"/>
    <w:rsid w:val="007879D2"/>
    <w:rsid w:val="007A6DDC"/>
    <w:rsid w:val="007B0253"/>
    <w:rsid w:val="007B5DDB"/>
    <w:rsid w:val="00813961"/>
    <w:rsid w:val="008607A1"/>
    <w:rsid w:val="00865F24"/>
    <w:rsid w:val="00947D04"/>
    <w:rsid w:val="00966D52"/>
    <w:rsid w:val="00995C43"/>
    <w:rsid w:val="00996674"/>
    <w:rsid w:val="009C2A43"/>
    <w:rsid w:val="009D3949"/>
    <w:rsid w:val="009F10B0"/>
    <w:rsid w:val="00A626A9"/>
    <w:rsid w:val="00A713E7"/>
    <w:rsid w:val="00A7571D"/>
    <w:rsid w:val="00A762ED"/>
    <w:rsid w:val="00AD16EE"/>
    <w:rsid w:val="00AE611E"/>
    <w:rsid w:val="00AF05FF"/>
    <w:rsid w:val="00B05921"/>
    <w:rsid w:val="00B53890"/>
    <w:rsid w:val="00B557E5"/>
    <w:rsid w:val="00B75E58"/>
    <w:rsid w:val="00B92F9C"/>
    <w:rsid w:val="00BB0902"/>
    <w:rsid w:val="00BB61CE"/>
    <w:rsid w:val="00C268A3"/>
    <w:rsid w:val="00C37502"/>
    <w:rsid w:val="00C45707"/>
    <w:rsid w:val="00C46B60"/>
    <w:rsid w:val="00C578CE"/>
    <w:rsid w:val="00CF069C"/>
    <w:rsid w:val="00D33FB7"/>
    <w:rsid w:val="00D460F4"/>
    <w:rsid w:val="00D8080F"/>
    <w:rsid w:val="00D81FD5"/>
    <w:rsid w:val="00D965DA"/>
    <w:rsid w:val="00DC7054"/>
    <w:rsid w:val="00E86D94"/>
    <w:rsid w:val="00E87FF9"/>
    <w:rsid w:val="00EB38E1"/>
    <w:rsid w:val="00EC187F"/>
    <w:rsid w:val="00F24B32"/>
    <w:rsid w:val="00F30F3B"/>
    <w:rsid w:val="00F713E4"/>
    <w:rsid w:val="00F735F3"/>
    <w:rsid w:val="00F76E44"/>
    <w:rsid w:val="00FA1266"/>
    <w:rsid w:val="00FD113E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1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8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0B0"/>
  </w:style>
  <w:style w:type="table" w:customStyle="1" w:styleId="2">
    <w:name w:val="Сетка таблицы2"/>
    <w:basedOn w:val="a1"/>
    <w:next w:val="a3"/>
    <w:uiPriority w:val="59"/>
    <w:rsid w:val="005F70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71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1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8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0B0"/>
  </w:style>
  <w:style w:type="table" w:customStyle="1" w:styleId="2">
    <w:name w:val="Сетка таблицы2"/>
    <w:basedOn w:val="a1"/>
    <w:next w:val="a3"/>
    <w:uiPriority w:val="59"/>
    <w:rsid w:val="005F70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71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5</cp:revision>
  <cp:lastPrinted>2022-07-26T06:38:00Z</cp:lastPrinted>
  <dcterms:created xsi:type="dcterms:W3CDTF">2022-12-07T07:47:00Z</dcterms:created>
  <dcterms:modified xsi:type="dcterms:W3CDTF">2022-12-07T08:13:00Z</dcterms:modified>
</cp:coreProperties>
</file>